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9" w:rsidRDefault="00033E79">
      <w:pPr>
        <w:pStyle w:val="Header"/>
        <w:tabs>
          <w:tab w:val="clear" w:pos="4819"/>
          <w:tab w:val="clear" w:pos="9638"/>
        </w:tabs>
        <w:ind w:left="6840"/>
      </w:pPr>
    </w:p>
    <w:p w:rsidR="00033E79" w:rsidRDefault="00033E79" w:rsidP="00B05B95">
      <w:pPr>
        <w:pStyle w:val="Header"/>
        <w:tabs>
          <w:tab w:val="clear" w:pos="4819"/>
          <w:tab w:val="clear" w:pos="9638"/>
        </w:tabs>
        <w:ind w:left="6840"/>
      </w:pPr>
    </w:p>
    <w:p w:rsidR="00033E79" w:rsidRDefault="00033E79" w:rsidP="00B05B95">
      <w:pPr>
        <w:pStyle w:val="Header"/>
        <w:tabs>
          <w:tab w:val="clear" w:pos="4819"/>
          <w:tab w:val="clear" w:pos="9638"/>
        </w:tabs>
        <w:ind w:left="6840"/>
      </w:pPr>
    </w:p>
    <w:p w:rsidR="00033E79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33E79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033E79" w:rsidRPr="000542BC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42BC">
        <w:rPr>
          <w:rFonts w:ascii="Century Gothic" w:hAnsi="Century Gothic"/>
        </w:rPr>
        <w:t>Ai Direttori delle Sedi Provinciali</w:t>
      </w:r>
    </w:p>
    <w:p w:rsidR="00033E79" w:rsidRPr="000542BC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42BC">
        <w:rPr>
          <w:rFonts w:ascii="Century Gothic" w:hAnsi="Century Gothic"/>
        </w:rPr>
        <w:t>e Territoriali e per loro tramite:</w:t>
      </w:r>
    </w:p>
    <w:p w:rsidR="00033E79" w:rsidRPr="000542BC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42BC">
        <w:rPr>
          <w:rFonts w:ascii="Century Gothic" w:hAnsi="Century Gothic"/>
        </w:rPr>
        <w:t>- Alle Amministrazioni Statali</w:t>
      </w:r>
    </w:p>
    <w:p w:rsidR="00033E79" w:rsidRPr="000542BC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42BC">
        <w:rPr>
          <w:rFonts w:ascii="Century Gothic" w:hAnsi="Century Gothic"/>
        </w:rPr>
        <w:t>- Agli Enti con Personale</w:t>
      </w:r>
    </w:p>
    <w:p w:rsidR="00033E79" w:rsidRPr="000542BC" w:rsidRDefault="00033E79" w:rsidP="000542BC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 w:rsidRPr="000542BC">
        <w:rPr>
          <w:rFonts w:ascii="Century Gothic" w:hAnsi="Century Gothic"/>
        </w:rPr>
        <w:t>Iscritto alle Casse CPDEL,</w:t>
      </w:r>
      <w:r>
        <w:rPr>
          <w:rFonts w:ascii="Century Gothic" w:hAnsi="Century Gothic"/>
        </w:rPr>
        <w:t xml:space="preserve"> </w:t>
      </w:r>
      <w:r w:rsidRPr="000542BC">
        <w:rPr>
          <w:rFonts w:ascii="Century Gothic" w:hAnsi="Century Gothic"/>
        </w:rPr>
        <w:t>CPS, CPI</w:t>
      </w:r>
    </w:p>
    <w:p w:rsidR="00033E79" w:rsidRPr="000542BC" w:rsidRDefault="00033E79" w:rsidP="000542BC">
      <w:pPr>
        <w:pStyle w:val="Header"/>
        <w:tabs>
          <w:tab w:val="clear" w:pos="4819"/>
          <w:tab w:val="clear" w:pos="9638"/>
          <w:tab w:val="left" w:pos="6660"/>
        </w:tabs>
        <w:ind w:left="4963"/>
        <w:jc w:val="both"/>
        <w:rPr>
          <w:rFonts w:ascii="Century Gothic" w:hAnsi="Century Gothic"/>
        </w:rPr>
      </w:pPr>
      <w:r w:rsidRPr="000542BC">
        <w:rPr>
          <w:rFonts w:ascii="Century Gothic" w:hAnsi="Century Gothic"/>
        </w:rPr>
        <w:t>- Alle Corti d'Appello</w:t>
      </w:r>
      <w:r w:rsidRPr="000542BC">
        <w:rPr>
          <w:rFonts w:ascii="Century Gothic" w:hAnsi="Century Gothic"/>
        </w:rPr>
        <w:tab/>
      </w: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6660"/>
        </w:tabs>
        <w:ind w:left="6660"/>
        <w:rPr>
          <w:rFonts w:ascii="Century Gothic" w:hAnsi="Century Gothic"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6660"/>
        </w:tabs>
        <w:ind w:left="6660"/>
        <w:rPr>
          <w:rFonts w:ascii="Century Gothic" w:hAnsi="Century Gothic"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6660"/>
        </w:tabs>
        <w:ind w:left="6660"/>
        <w:rPr>
          <w:rFonts w:ascii="Century Gothic" w:hAnsi="Century Gothic"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6660"/>
        </w:tabs>
        <w:ind w:left="6660"/>
        <w:rPr>
          <w:rFonts w:ascii="Century Gothic" w:hAnsi="Century Gothic"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6660"/>
        </w:tabs>
        <w:ind w:left="6660"/>
        <w:rPr>
          <w:rFonts w:ascii="Century Gothic" w:hAnsi="Century Gothic"/>
          <w:sz w:val="20"/>
        </w:rPr>
      </w:pPr>
    </w:p>
    <w:p w:rsidR="00033E79" w:rsidRDefault="00033E79" w:rsidP="00537958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 w:rsidRPr="000B1DDA">
        <w:rPr>
          <w:rFonts w:ascii="Century Gothic" w:hAnsi="Century Gothic"/>
          <w:b/>
          <w:bCs/>
        </w:rPr>
        <w:t xml:space="preserve">Oggetto: </w:t>
      </w:r>
      <w:r w:rsidRPr="000B1DDA">
        <w:rPr>
          <w:rFonts w:ascii="Century Gothic" w:hAnsi="Century Gothic"/>
          <w:bCs/>
        </w:rPr>
        <w:t>Art. 21, commi 1, 2, e 2</w:t>
      </w:r>
      <w:r w:rsidRPr="007452F6">
        <w:rPr>
          <w:rFonts w:ascii="Century Gothic" w:hAnsi="Century Gothic"/>
          <w:bCs/>
          <w:i/>
        </w:rPr>
        <w:t xml:space="preserve">bis </w:t>
      </w:r>
      <w:r w:rsidRPr="000B1DDA">
        <w:rPr>
          <w:rFonts w:ascii="Century Gothic" w:hAnsi="Century Gothic"/>
          <w:bCs/>
        </w:rPr>
        <w:t>della Legge 22 dicembre 2011</w:t>
      </w:r>
      <w:r>
        <w:rPr>
          <w:rFonts w:ascii="Century Gothic" w:hAnsi="Century Gothic"/>
          <w:bCs/>
        </w:rPr>
        <w:t>,</w:t>
      </w:r>
      <w:r w:rsidRPr="000B1DDA">
        <w:rPr>
          <w:rFonts w:ascii="Century Gothic" w:hAnsi="Century Gothic"/>
          <w:bCs/>
        </w:rPr>
        <w:t xml:space="preserve"> n. 214, di </w:t>
      </w:r>
    </w:p>
    <w:p w:rsidR="00033E79" w:rsidRDefault="00033E79" w:rsidP="00537958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</w:t>
      </w:r>
      <w:r w:rsidRPr="000B1DDA">
        <w:rPr>
          <w:rFonts w:ascii="Century Gothic" w:hAnsi="Century Gothic"/>
          <w:bCs/>
        </w:rPr>
        <w:t xml:space="preserve">conversione, con modificazioni ed integrazioni, del Decreto Legge 6 </w:t>
      </w:r>
    </w:p>
    <w:p w:rsidR="00033E79" w:rsidRDefault="00033E79" w:rsidP="00537958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</w:t>
      </w:r>
      <w:r w:rsidRPr="000B1DDA">
        <w:rPr>
          <w:rFonts w:ascii="Century Gothic" w:hAnsi="Century Gothic"/>
          <w:bCs/>
        </w:rPr>
        <w:t>dicembre 2011</w:t>
      </w:r>
      <w:r>
        <w:rPr>
          <w:rFonts w:ascii="Century Gothic" w:hAnsi="Century Gothic"/>
          <w:bCs/>
        </w:rPr>
        <w:t>,</w:t>
      </w:r>
      <w:r w:rsidRPr="000B1DDA">
        <w:rPr>
          <w:rFonts w:ascii="Century Gothic" w:hAnsi="Century Gothic"/>
          <w:bCs/>
        </w:rPr>
        <w:t xml:space="preserve"> n. 201.</w:t>
      </w:r>
      <w:r>
        <w:rPr>
          <w:rFonts w:ascii="Century Gothic" w:hAnsi="Century Gothic"/>
          <w:bCs/>
        </w:rPr>
        <w:t xml:space="preserve"> </w:t>
      </w:r>
    </w:p>
    <w:p w:rsidR="00033E79" w:rsidRDefault="00033E79" w:rsidP="00537958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Nota prot. n. 31/0001922/MA002.A001 del Ministero del Lavoro e delle </w:t>
      </w:r>
    </w:p>
    <w:p w:rsidR="00033E79" w:rsidRPr="000B1DDA" w:rsidRDefault="00033E79" w:rsidP="00537958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</w:rPr>
        <w:t xml:space="preserve">                 Politiche Sociali del 28 dicembre 2011.</w:t>
      </w:r>
      <w:r w:rsidRPr="000B1DDA">
        <w:rPr>
          <w:rFonts w:ascii="Century Gothic" w:hAnsi="Century Gothic"/>
        </w:rPr>
        <w:fldChar w:fldCharType="begin"/>
      </w:r>
      <w:r w:rsidRPr="000B1DDA">
        <w:rPr>
          <w:rFonts w:ascii="Century Gothic" w:hAnsi="Century Gothic"/>
        </w:rPr>
        <w:instrText xml:space="preserve"> QUOTE  \* MERGEFORMAT </w:instrText>
      </w:r>
      <w:r w:rsidRPr="000B1DDA">
        <w:rPr>
          <w:rFonts w:ascii="Century Gothic" w:hAnsi="Century Gothic"/>
        </w:rPr>
        <w:fldChar w:fldCharType="end"/>
      </w:r>
    </w:p>
    <w:p w:rsidR="00033E79" w:rsidRPr="000B1DDA" w:rsidRDefault="00033E79" w:rsidP="00B05B95">
      <w:pPr>
        <w:pStyle w:val="Header"/>
        <w:tabs>
          <w:tab w:val="clear" w:pos="4819"/>
          <w:tab w:val="clear" w:pos="9638"/>
          <w:tab w:val="left" w:pos="12600"/>
        </w:tabs>
        <w:rPr>
          <w:rFonts w:ascii="Century Gothic" w:hAnsi="Century Gothic"/>
          <w:b/>
          <w:bCs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12600"/>
        </w:tabs>
        <w:rPr>
          <w:rFonts w:ascii="Century Gothic" w:hAnsi="Century Gothic"/>
          <w:b/>
          <w:bCs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12600"/>
        </w:tabs>
        <w:rPr>
          <w:rFonts w:ascii="Century Gothic" w:hAnsi="Century Gothic"/>
          <w:b/>
          <w:bCs/>
          <w:sz w:val="20"/>
        </w:rPr>
      </w:pPr>
    </w:p>
    <w:p w:rsidR="00033E79" w:rsidRDefault="00033E79" w:rsidP="00B05B95">
      <w:pPr>
        <w:pStyle w:val="Header"/>
        <w:tabs>
          <w:tab w:val="clear" w:pos="4819"/>
          <w:tab w:val="clear" w:pos="9638"/>
          <w:tab w:val="left" w:pos="12600"/>
        </w:tabs>
        <w:rPr>
          <w:rFonts w:ascii="Century Gothic" w:hAnsi="Century Gothic"/>
          <w:b/>
          <w:bCs/>
          <w:sz w:val="20"/>
        </w:rPr>
      </w:pP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/>
          <w:bCs/>
        </w:rPr>
        <w:t>I</w:t>
      </w:r>
      <w:r w:rsidRPr="000B1DDA">
        <w:rPr>
          <w:rFonts w:ascii="Century Gothic" w:hAnsi="Century Gothic"/>
          <w:bCs/>
        </w:rPr>
        <w:t>l Decreto Legge 6 dicembre 2011</w:t>
      </w:r>
      <w:r>
        <w:rPr>
          <w:rFonts w:ascii="Century Gothic" w:hAnsi="Century Gothic"/>
          <w:bCs/>
        </w:rPr>
        <w:t xml:space="preserve">, </w:t>
      </w:r>
      <w:r w:rsidRPr="000B1DDA">
        <w:rPr>
          <w:rFonts w:ascii="Century Gothic" w:hAnsi="Century Gothic"/>
          <w:bCs/>
        </w:rPr>
        <w:t>n. 201, convertito, con modificazioni ed integrazioni</w:t>
      </w:r>
      <w:r>
        <w:rPr>
          <w:rFonts w:ascii="Century Gothic" w:hAnsi="Century Gothic"/>
          <w:bCs/>
        </w:rPr>
        <w:t>,</w:t>
      </w:r>
      <w:r w:rsidRPr="000B1DDA">
        <w:rPr>
          <w:rFonts w:ascii="Century Gothic" w:hAnsi="Century Gothic"/>
          <w:bCs/>
        </w:rPr>
        <w:t xml:space="preserve"> nella Legge 22 </w:t>
      </w:r>
      <w:r>
        <w:rPr>
          <w:rFonts w:ascii="Century Gothic" w:hAnsi="Century Gothic"/>
          <w:bCs/>
        </w:rPr>
        <w:t>d</w:t>
      </w:r>
      <w:r w:rsidRPr="000B1DDA">
        <w:rPr>
          <w:rFonts w:ascii="Century Gothic" w:hAnsi="Century Gothic"/>
          <w:bCs/>
        </w:rPr>
        <w:t>icembre 2011</w:t>
      </w:r>
      <w:r>
        <w:rPr>
          <w:rFonts w:ascii="Century Gothic" w:hAnsi="Century Gothic"/>
          <w:bCs/>
        </w:rPr>
        <w:t>,</w:t>
      </w:r>
      <w:r w:rsidRPr="000B1DDA">
        <w:rPr>
          <w:rFonts w:ascii="Century Gothic" w:hAnsi="Century Gothic"/>
          <w:bCs/>
        </w:rPr>
        <w:t xml:space="preserve"> n. 214, all’art 21, 1° comma, ha previsto la soppressione, dal </w:t>
      </w:r>
      <w:r>
        <w:rPr>
          <w:rFonts w:ascii="Century Gothic" w:hAnsi="Century Gothic"/>
          <w:bCs/>
        </w:rPr>
        <w:t>1°</w:t>
      </w:r>
      <w:r w:rsidRPr="000B1DDA">
        <w:rPr>
          <w:rFonts w:ascii="Century Gothic" w:hAnsi="Century Gothic"/>
          <w:bCs/>
        </w:rPr>
        <w:t xml:space="preserve"> gennaio 2012, dei preesistenti Istituti previdenziali</w:t>
      </w:r>
      <w:r>
        <w:rPr>
          <w:rFonts w:ascii="Century Gothic" w:hAnsi="Century Gothic"/>
          <w:bCs/>
        </w:rPr>
        <w:t>:</w:t>
      </w:r>
      <w:r w:rsidRPr="000B1DDA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>l’I</w:t>
      </w:r>
      <w:r w:rsidRPr="000B1DDA">
        <w:rPr>
          <w:rFonts w:ascii="Century Gothic" w:hAnsi="Century Gothic"/>
          <w:bCs/>
        </w:rPr>
        <w:t>.N.P.D.A.P., Istituto Nazionale di Previdenza per i Dipendenti dell’Amministrazione Pubblica</w:t>
      </w:r>
      <w:r>
        <w:rPr>
          <w:rFonts w:ascii="Century Gothic" w:hAnsi="Century Gothic"/>
          <w:bCs/>
        </w:rPr>
        <w:t>,</w:t>
      </w:r>
      <w:r w:rsidRPr="000B1DDA">
        <w:rPr>
          <w:rFonts w:ascii="Century Gothic" w:hAnsi="Century Gothic"/>
          <w:bCs/>
        </w:rPr>
        <w:t xml:space="preserve">  e </w:t>
      </w:r>
      <w:r>
        <w:rPr>
          <w:rFonts w:ascii="Century Gothic" w:hAnsi="Century Gothic"/>
          <w:bCs/>
        </w:rPr>
        <w:t>l’</w:t>
      </w:r>
      <w:r w:rsidRPr="000B1DDA">
        <w:rPr>
          <w:rFonts w:ascii="Century Gothic" w:hAnsi="Century Gothic"/>
          <w:bCs/>
        </w:rPr>
        <w:t xml:space="preserve">E.N.P.A.L.S., </w:t>
      </w:r>
      <w:r w:rsidRPr="000B1DDA">
        <w:rPr>
          <w:rFonts w:ascii="Century Gothic" w:hAnsi="Century Gothic" w:cs="Arial"/>
        </w:rPr>
        <w:t>Ente Nazionale di Previdenza e di Assistenza per i Lavoratori dello Spettacolo</w:t>
      </w:r>
      <w:r>
        <w:rPr>
          <w:rFonts w:ascii="Century Gothic" w:hAnsi="Century Gothic" w:cs="Arial"/>
        </w:rPr>
        <w:t>, attribuendo le relative funzioni all’I.N.P.S., Istituto Nazionale della Previdenza sociale, che succede in tutti i rapporti attivi e passivi.</w:t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335813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 w:cs="Arial"/>
        </w:rPr>
        <w:t xml:space="preserve">Come precisato dalla nota </w:t>
      </w:r>
      <w:r>
        <w:rPr>
          <w:rFonts w:ascii="Century Gothic" w:hAnsi="Century Gothic"/>
          <w:bCs/>
        </w:rPr>
        <w:t>prot. n. 31/0001922/MA002.A001 del Ministro del Lavoro e delle Politiche Sociali del 28 dicembre 2011,</w:t>
      </w:r>
      <w:r w:rsidRPr="0055667F"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t xml:space="preserve">recante le primi istruzioni operative in materia di soppressione dell’INPDAP e dell’ENPALS, la </w:t>
      </w:r>
      <w:r w:rsidRPr="00C4453E">
        <w:rPr>
          <w:rFonts w:ascii="Century Gothic" w:hAnsi="Century Gothic"/>
          <w:bCs/>
          <w:i/>
        </w:rPr>
        <w:t>ratio legis</w:t>
      </w:r>
      <w:r>
        <w:rPr>
          <w:rFonts w:ascii="Century Gothic" w:hAnsi="Century Gothic"/>
          <w:bCs/>
        </w:rPr>
        <w:t xml:space="preserve"> dell’art. 21 trova il suo fondamento non solo sul principio di razionalizzazione dell’azione amministrativa in materia previdenziale, ma anche su quello del contenimento dei costi di gestione.</w:t>
      </w:r>
    </w:p>
    <w:p w:rsidR="00033E79" w:rsidRDefault="00033E79" w:rsidP="00335813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secondo comma dell’art. </w:t>
      </w:r>
      <w:smartTag w:uri="urn:schemas-microsoft-com:office:smarttags" w:element="metricconverter">
        <w:smartTagPr>
          <w:attr w:name="ProductID" w:val="21 in"/>
        </w:smartTagPr>
        <w:r>
          <w:rPr>
            <w:rFonts w:ascii="Century Gothic" w:hAnsi="Century Gothic" w:cs="Arial"/>
          </w:rPr>
          <w:t>21 in</w:t>
        </w:r>
      </w:smartTag>
      <w:r>
        <w:rPr>
          <w:rFonts w:ascii="Century Gothic" w:hAnsi="Century Gothic" w:cs="Arial"/>
        </w:rPr>
        <w:t xml:space="preserve"> oggetto continua precisando che le risorse strumentali, umane e finanziarie degli  Enti soppressi verranno trasferite all’INPS attraverso l’emanazione, da parte del Ministro del Lavoro e delle Politiche Sociali, con il concerto del Ministro dell’Economia e delle Finanze e del Ministro per la Pubblica Amministrazione e la Semplificazione, di decreti di natura non regolamentare entro sessanta giorni dal 31 marzo 2012, termine finale stabilito per l’approvazione dei bilanci di chiusura delle gestioni INPDAP ed ENPALS.</w:t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comma secondo </w:t>
      </w:r>
      <w:r w:rsidRPr="00E8259C">
        <w:rPr>
          <w:rFonts w:ascii="Century Gothic" w:hAnsi="Century Gothic" w:cs="Arial"/>
          <w:i/>
        </w:rPr>
        <w:t>bis</w:t>
      </w:r>
      <w:r>
        <w:rPr>
          <w:rFonts w:ascii="Century Gothic" w:hAnsi="Century Gothic" w:cs="Arial"/>
        </w:rPr>
        <w:t xml:space="preserve">, inserito dalla Legge di conversione del Decreto in oggetto, specifica che </w:t>
      </w:r>
      <w:r w:rsidRPr="0075486A">
        <w:rPr>
          <w:rFonts w:ascii="Century Gothic" w:hAnsi="Century Gothic" w:cs="Arial"/>
        </w:rPr>
        <w:t>in attesa dell’emanazione dei detti decreti di trasferimento, le strutture centrali e periferiche degli enti soppressi continuano ad espletare le attività connesse ai compiti istituzionali degli stessi.</w:t>
      </w:r>
      <w:r>
        <w:rPr>
          <w:rFonts w:ascii="Century Gothic" w:hAnsi="Century Gothic" w:cs="Arial"/>
        </w:rPr>
        <w:t xml:space="preserve"> </w:t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7572B4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  <w:r>
        <w:rPr>
          <w:rFonts w:ascii="Century Gothic" w:hAnsi="Century Gothic" w:cs="Arial"/>
        </w:rPr>
        <w:t xml:space="preserve">Come ribadito dalla nota </w:t>
      </w:r>
      <w:r>
        <w:rPr>
          <w:rFonts w:ascii="Century Gothic" w:hAnsi="Century Gothic"/>
          <w:bCs/>
        </w:rPr>
        <w:t>del Ministro del Lavoro e delle Politiche Sociali sopra citata, la normativa in oggetto non ha comportato modifiche alle gestioni previdenziali ed alle prestazioni erogate dagli Enti soppressi, delle quali deve essere assicurata, a tutela degli utenti, la piena continuità e funzionalità.</w:t>
      </w:r>
    </w:p>
    <w:p w:rsidR="00033E79" w:rsidRDefault="00033E79" w:rsidP="007572B4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Cs/>
        </w:rPr>
      </w:pPr>
    </w:p>
    <w:p w:rsidR="00033E79" w:rsidRDefault="00033E79" w:rsidP="007572B4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 w:rsidRPr="00643A6A">
        <w:rPr>
          <w:rFonts w:ascii="Century Gothic" w:hAnsi="Century Gothic"/>
          <w:bCs/>
        </w:rPr>
        <w:t>Ne deriva</w:t>
      </w:r>
      <w:r w:rsidRPr="00643A6A">
        <w:rPr>
          <w:rFonts w:ascii="Century Gothic" w:hAnsi="Century Gothic" w:cs="Arial"/>
        </w:rPr>
        <w:t xml:space="preserve"> che le Amministrazioni e gli Enti con personale iscritt</w:t>
      </w:r>
      <w:r>
        <w:rPr>
          <w:rFonts w:ascii="Century Gothic" w:hAnsi="Century Gothic" w:cs="Arial"/>
        </w:rPr>
        <w:t>o ad una delle Gestioni Previdenziali e assistenziali amministrate fino al 31 dicembre 2011 dall’INPDAP dovranno continuare a rivolgersi per tutte le esigenze di natura</w:t>
      </w:r>
      <w:r w:rsidRPr="00643A6A">
        <w:rPr>
          <w:rFonts w:ascii="Century Gothic" w:hAnsi="Century Gothic" w:cs="Arial"/>
        </w:rPr>
        <w:t xml:space="preserve"> previdenziale, creditizia, di welfare e contributiva alle preesistenti strutture centrali (Uffici delle Direzioni Centrali) e territoriali (Direzioni regionali e Sedi provinciali/territoriali</w:t>
      </w:r>
      <w:bookmarkStart w:id="0" w:name="_GoBack"/>
      <w:bookmarkEnd w:id="0"/>
      <w:r w:rsidRPr="00643A6A">
        <w:rPr>
          <w:rFonts w:ascii="Century Gothic" w:hAnsi="Century Gothic" w:cs="Arial"/>
        </w:rPr>
        <w:t xml:space="preserve">) del soppresso Inpdap, indirizzando tutte le istanze a: INPS-Gestione ex INPDAP. </w:t>
      </w:r>
    </w:p>
    <w:p w:rsidR="00033E79" w:rsidRPr="00643A6A" w:rsidRDefault="00033E79" w:rsidP="007572B4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 quanto attiene, in particolare, gli obblighi di denuncia contributiva di cui all’</w:t>
      </w:r>
      <w:r w:rsidRPr="00643A6A">
        <w:rPr>
          <w:rFonts w:ascii="Century Gothic" w:hAnsi="Century Gothic" w:cs="Arial"/>
        </w:rPr>
        <w:t xml:space="preserve">art. 44, comma 9, del decreto legge 30 settembre 2003, n. 269, convertito nella legge 24 novembre 2003, n. 326 </w:t>
      </w:r>
      <w:r>
        <w:rPr>
          <w:rFonts w:ascii="Century Gothic" w:hAnsi="Century Gothic" w:cs="Arial"/>
        </w:rPr>
        <w:t xml:space="preserve">dovranno, </w:t>
      </w:r>
      <w:r w:rsidRPr="00784B59">
        <w:rPr>
          <w:rFonts w:ascii="Century Gothic" w:hAnsi="Century Gothic" w:cs="Arial"/>
        </w:rPr>
        <w:t>al momento</w:t>
      </w:r>
      <w:r>
        <w:rPr>
          <w:rFonts w:ascii="Century Gothic" w:hAnsi="Century Gothic" w:cs="Arial"/>
        </w:rPr>
        <w:t xml:space="preserve">, continuare ad essere assolti con la presentazione della </w:t>
      </w:r>
      <w:r w:rsidRPr="00643A6A">
        <w:rPr>
          <w:rFonts w:ascii="Century Gothic" w:hAnsi="Century Gothic" w:cs="Arial"/>
        </w:rPr>
        <w:t>Denuncia Mensile Analitica</w:t>
      </w:r>
      <w:r>
        <w:rPr>
          <w:rFonts w:ascii="Century Gothic" w:hAnsi="Century Gothic" w:cs="Arial"/>
        </w:rPr>
        <w:t xml:space="preserve"> anche nel caso in cui il soggetto contribuente assolva ai medesimi obblighi attraverso la denuncia Uniemens relativamente alle gestioni già amministrate dall’INPS.</w:t>
      </w:r>
      <w:r w:rsidRPr="00643A6A">
        <w:rPr>
          <w:rFonts w:ascii="Century Gothic" w:hAnsi="Century Gothic" w:cs="Arial"/>
        </w:rPr>
        <w:t xml:space="preserve"> </w:t>
      </w:r>
    </w:p>
    <w:p w:rsidR="00033E79" w:rsidRDefault="00033E79" w:rsidP="007572B4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Cordiali saluti</w:t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Il Direttore Generale</w:t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Dott. Mauro NORI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033E79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 w:cs="Arial"/>
        </w:rPr>
      </w:pPr>
    </w:p>
    <w:p w:rsidR="00033E79" w:rsidRPr="000B1DDA" w:rsidRDefault="00033E79" w:rsidP="002C0125">
      <w:pPr>
        <w:pStyle w:val="Header"/>
        <w:tabs>
          <w:tab w:val="clear" w:pos="4819"/>
          <w:tab w:val="clear" w:pos="9638"/>
          <w:tab w:val="left" w:pos="12600"/>
        </w:tabs>
        <w:jc w:val="both"/>
        <w:rPr>
          <w:rFonts w:ascii="Century Gothic" w:hAnsi="Century Gothic"/>
          <w:b/>
          <w:bCs/>
        </w:rPr>
      </w:pPr>
    </w:p>
    <w:sectPr w:rsidR="00033E79" w:rsidRPr="000B1DDA" w:rsidSect="00D77092">
      <w:footerReference w:type="default" r:id="rId7"/>
      <w:headerReference w:type="first" r:id="rId8"/>
      <w:footerReference w:type="first" r:id="rId9"/>
      <w:pgSz w:w="11906" w:h="16838" w:code="9"/>
      <w:pgMar w:top="902" w:right="1134" w:bottom="21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79" w:rsidRDefault="00033E79">
      <w:r>
        <w:separator/>
      </w:r>
    </w:p>
  </w:endnote>
  <w:endnote w:type="continuationSeparator" w:id="0">
    <w:p w:rsidR="00033E79" w:rsidRDefault="0003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01"/>
      <w:gridCol w:w="8977"/>
    </w:tblGrid>
    <w:tr w:rsidR="00033E79">
      <w:tc>
        <w:tcPr>
          <w:tcW w:w="610" w:type="dxa"/>
        </w:tcPr>
        <w:p w:rsidR="00033E79" w:rsidRDefault="00033E79">
          <w:pPr>
            <w:pStyle w:val="Footer"/>
            <w:jc w:val="center"/>
            <w:rPr>
              <w:rFonts w:ascii="Century Gothic" w:hAnsi="Century Gothic"/>
              <w:sz w:val="16"/>
            </w:rPr>
          </w:pPr>
          <w:r w:rsidRPr="003319C8">
            <w:rPr>
              <w:rFonts w:ascii="Century Gothic" w:hAnsi="Century Gothic"/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alt="logo inps inpdap 1" style="width:33pt;height:30pt;visibility:visible">
                <v:imagedata r:id="rId1" o:title=""/>
              </v:shape>
            </w:pict>
          </w:r>
        </w:p>
      </w:tc>
      <w:tc>
        <w:tcPr>
          <w:tcW w:w="9168" w:type="dxa"/>
        </w:tcPr>
        <w:p w:rsidR="00033E79" w:rsidRDefault="00033E79" w:rsidP="00B654C4">
          <w:pPr>
            <w:pStyle w:val="Footer"/>
            <w:rPr>
              <w:rFonts w:ascii="Century Gothic" w:hAnsi="Century Gothic"/>
              <w:sz w:val="16"/>
            </w:rPr>
          </w:pPr>
        </w:p>
      </w:tc>
    </w:tr>
  </w:tbl>
  <w:p w:rsidR="00033E79" w:rsidRDefault="00033E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79" w:rsidRDefault="00033E79">
    <w:pPr>
      <w:pStyle w:val="Footer"/>
      <w:jc w:val="center"/>
      <w:rPr>
        <w:rFonts w:ascii="Century Gothic" w:hAnsi="Century Gothic"/>
        <w:sz w:val="16"/>
      </w:rPr>
    </w:pPr>
  </w:p>
  <w:p w:rsidR="00033E79" w:rsidRDefault="00033E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79" w:rsidRDefault="00033E79">
      <w:r>
        <w:separator/>
      </w:r>
    </w:p>
  </w:footnote>
  <w:footnote w:type="continuationSeparator" w:id="0">
    <w:p w:rsidR="00033E79" w:rsidRDefault="0003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70" w:type="dxa"/>
        <w:right w:w="70" w:type="dxa"/>
      </w:tblCellMar>
      <w:tblLook w:val="0000"/>
    </w:tblPr>
    <w:tblGrid>
      <w:gridCol w:w="825"/>
      <w:gridCol w:w="5834"/>
      <w:gridCol w:w="3049"/>
    </w:tblGrid>
    <w:tr w:rsidR="00033E79">
      <w:trPr>
        <w:trHeight w:val="1422"/>
      </w:trPr>
      <w:tc>
        <w:tcPr>
          <w:tcW w:w="458" w:type="pct"/>
        </w:tcPr>
        <w:p w:rsidR="00033E79" w:rsidRPr="001C229E" w:rsidRDefault="00033E79">
          <w:pPr>
            <w:pStyle w:val="Header"/>
            <w:rPr>
              <w:rFonts w:ascii="Century Gothic" w:hAnsi="Century Gothic"/>
              <w:sz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2049" type="#_x0000_t75" alt="logo inps inpdap 1" style="position:absolute;margin-left:-21.5pt;margin-top:.2pt;width:110.25pt;height:99.25pt;z-index:251658240;visibility:visible;mso-position-horizontal-relative:margin;mso-position-vertical-relative:margin">
                <v:imagedata r:id="rId1" o:title=""/>
                <w10:wrap anchorx="margin" anchory="margin"/>
              </v:shape>
            </w:pict>
          </w:r>
          <w:r>
            <w:rPr>
              <w:noProof/>
            </w:rPr>
            <w:pict>
              <v:line id="Line 1" o:spid="_x0000_s2050" style="position:absolute;z-index:251657216;visibility:visible" from="0,99pt" to="48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nqFAIAACgEAAAOAAAAZHJzL2Uyb0RvYy54bWysU8uu2yAQ3VfqPyD2iR91ch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" strokecolor="gray"/>
            </w:pict>
          </w:r>
        </w:p>
      </w:tc>
      <w:tc>
        <w:tcPr>
          <w:tcW w:w="2983" w:type="pct"/>
          <w:vAlign w:val="bottom"/>
        </w:tcPr>
        <w:p w:rsidR="00033E79" w:rsidRPr="001C229E" w:rsidRDefault="00033E79">
          <w:pPr>
            <w:pStyle w:val="Header"/>
            <w:rPr>
              <w:rFonts w:ascii="Century Gothic" w:hAnsi="Century Gothic"/>
              <w:sz w:val="16"/>
            </w:rPr>
          </w:pPr>
        </w:p>
      </w:tc>
      <w:tc>
        <w:tcPr>
          <w:tcW w:w="1559" w:type="pct"/>
          <w:vAlign w:val="bottom"/>
        </w:tcPr>
        <w:p w:rsidR="00033E79" w:rsidRPr="001C229E" w:rsidRDefault="00033E79" w:rsidP="00E57AC3">
          <w:pPr>
            <w:pStyle w:val="Header"/>
            <w:keepLines/>
            <w:ind w:left="-69"/>
            <w:rPr>
              <w:rFonts w:ascii="Century Gothic" w:hAnsi="Century Gothic"/>
              <w:sz w:val="20"/>
            </w:rPr>
          </w:pPr>
          <w:r w:rsidRPr="001C229E">
            <w:rPr>
              <w:rFonts w:ascii="Century Gothic" w:hAnsi="Century Gothic"/>
              <w:sz w:val="16"/>
            </w:rPr>
            <w:t xml:space="preserve">          DIREZIONE GENERALE</w:t>
          </w:r>
        </w:p>
        <w:p w:rsidR="00033E79" w:rsidRPr="001C229E" w:rsidRDefault="00033E79" w:rsidP="00537958">
          <w:pPr>
            <w:pStyle w:val="Header"/>
            <w:keepLines/>
            <w:ind w:left="-69"/>
            <w:rPr>
              <w:rFonts w:ascii="Century Gothic" w:hAnsi="Century Gothic"/>
              <w:sz w:val="20"/>
            </w:rPr>
          </w:pPr>
        </w:p>
      </w:tc>
    </w:tr>
  </w:tbl>
  <w:p w:rsidR="00033E79" w:rsidRDefault="00033E79" w:rsidP="00537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853"/>
    <w:multiLevelType w:val="hybridMultilevel"/>
    <w:tmpl w:val="A2C86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760"/>
    <w:multiLevelType w:val="hybridMultilevel"/>
    <w:tmpl w:val="F5E0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FA"/>
    <w:rsid w:val="00033E79"/>
    <w:rsid w:val="00044A65"/>
    <w:rsid w:val="000542BC"/>
    <w:rsid w:val="000B1DDA"/>
    <w:rsid w:val="00120EAB"/>
    <w:rsid w:val="0013646B"/>
    <w:rsid w:val="00170FC6"/>
    <w:rsid w:val="001C229E"/>
    <w:rsid w:val="001C721E"/>
    <w:rsid w:val="001E7F22"/>
    <w:rsid w:val="00216411"/>
    <w:rsid w:val="002470F0"/>
    <w:rsid w:val="002C0125"/>
    <w:rsid w:val="002D1228"/>
    <w:rsid w:val="003319C8"/>
    <w:rsid w:val="00335813"/>
    <w:rsid w:val="003B4B8A"/>
    <w:rsid w:val="004227FA"/>
    <w:rsid w:val="00465D4C"/>
    <w:rsid w:val="00466E15"/>
    <w:rsid w:val="004672EC"/>
    <w:rsid w:val="004C0F8B"/>
    <w:rsid w:val="004F6411"/>
    <w:rsid w:val="005352A5"/>
    <w:rsid w:val="00537958"/>
    <w:rsid w:val="0055471D"/>
    <w:rsid w:val="0055667F"/>
    <w:rsid w:val="005C2617"/>
    <w:rsid w:val="00640329"/>
    <w:rsid w:val="00640B7F"/>
    <w:rsid w:val="00643A6A"/>
    <w:rsid w:val="00663229"/>
    <w:rsid w:val="006915AB"/>
    <w:rsid w:val="006A79EF"/>
    <w:rsid w:val="006B1496"/>
    <w:rsid w:val="007452F6"/>
    <w:rsid w:val="00751ADE"/>
    <w:rsid w:val="0075486A"/>
    <w:rsid w:val="007572B4"/>
    <w:rsid w:val="0076301D"/>
    <w:rsid w:val="00784B59"/>
    <w:rsid w:val="007F0436"/>
    <w:rsid w:val="00814908"/>
    <w:rsid w:val="00820993"/>
    <w:rsid w:val="00820CBB"/>
    <w:rsid w:val="008864A0"/>
    <w:rsid w:val="008A4437"/>
    <w:rsid w:val="008D5169"/>
    <w:rsid w:val="008E18F4"/>
    <w:rsid w:val="008E2235"/>
    <w:rsid w:val="009424B4"/>
    <w:rsid w:val="0094691E"/>
    <w:rsid w:val="009520BF"/>
    <w:rsid w:val="009A5509"/>
    <w:rsid w:val="00A46B7F"/>
    <w:rsid w:val="00A46FDE"/>
    <w:rsid w:val="00A71A0B"/>
    <w:rsid w:val="00A802B7"/>
    <w:rsid w:val="00A903AB"/>
    <w:rsid w:val="00A90ECF"/>
    <w:rsid w:val="00AD5E23"/>
    <w:rsid w:val="00B05B95"/>
    <w:rsid w:val="00B305FA"/>
    <w:rsid w:val="00B50E4A"/>
    <w:rsid w:val="00B654C4"/>
    <w:rsid w:val="00B66304"/>
    <w:rsid w:val="00C4453E"/>
    <w:rsid w:val="00C63A4E"/>
    <w:rsid w:val="00CE0A1F"/>
    <w:rsid w:val="00CF1996"/>
    <w:rsid w:val="00D012FC"/>
    <w:rsid w:val="00D472AB"/>
    <w:rsid w:val="00D77092"/>
    <w:rsid w:val="00DA5B8F"/>
    <w:rsid w:val="00DC58BD"/>
    <w:rsid w:val="00DD6942"/>
    <w:rsid w:val="00E57AC3"/>
    <w:rsid w:val="00E71DB4"/>
    <w:rsid w:val="00E8259C"/>
    <w:rsid w:val="00EB3949"/>
    <w:rsid w:val="00F73DE6"/>
    <w:rsid w:val="00F82372"/>
    <w:rsid w:val="00FC2F4D"/>
    <w:rsid w:val="00FD58A3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0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B9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770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77092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770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209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99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ntgtn64c26b963l\Desktop\modelli%20Inps%20ex%20Inpdap\modello_circola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modello_circolare.dot</Template>
  <TotalTime>1</TotalTime>
  <Pages>2</Pages>
  <Words>597</Words>
  <Characters>3406</Characters>
  <Application>Microsoft Office Outlook</Application>
  <DocSecurity>0</DocSecurity>
  <Lines>0</Lines>
  <Paragraphs>0</Paragraphs>
  <ScaleCrop>false</ScaleCrop>
  <Company>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subject/>
  <dc:creator>CNTGTN64C26B963L</dc:creator>
  <cp:keywords/>
  <dc:description/>
  <cp:lastModifiedBy>Ufficio Informatico</cp:lastModifiedBy>
  <cp:revision>2</cp:revision>
  <cp:lastPrinted>2012-01-13T10:42:00Z</cp:lastPrinted>
  <dcterms:created xsi:type="dcterms:W3CDTF">2012-02-10T10:16:00Z</dcterms:created>
  <dcterms:modified xsi:type="dcterms:W3CDTF">2012-02-10T10:16:00Z</dcterms:modified>
</cp:coreProperties>
</file>